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FA0" w:rsidRDefault="003C78DB">
      <w:r>
        <w:rPr>
          <w:noProof/>
        </w:rPr>
        <w:drawing>
          <wp:inline distT="0" distB="0" distL="0" distR="0" wp14:anchorId="59D588F7" wp14:editId="6191891A">
            <wp:extent cx="5943600" cy="59436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920FA0" w:rsidRPr="006164AF" w:rsidRDefault="00920FA0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1. </w:t>
      </w:r>
      <w:r w:rsidR="00F63FDD" w:rsidRPr="00F63FDD">
        <w:rPr>
          <w:rFonts w:ascii="Georgia" w:hAnsi="Georgia" w:cs="Times New Roman"/>
          <w:sz w:val="24"/>
          <w:szCs w:val="24"/>
        </w:rPr>
        <w:t>Summary of the distributions of a</w:t>
      </w:r>
      <w:r w:rsidRPr="006164AF">
        <w:rPr>
          <w:rFonts w:ascii="Georgia" w:hAnsi="Georgia" w:cs="Times New Roman"/>
          <w:sz w:val="24"/>
          <w:szCs w:val="24"/>
        </w:rPr>
        <w:t xml:space="preserve">verage harvest per year for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 xml:space="preserve">). Red boxplots depict 7yr recruitment scenario and black boxplots depict 4yr recruitment scenario.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920FA0" w:rsidRPr="006164AF" w:rsidRDefault="003C78DB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90700C9" wp14:editId="1A4FADDA">
            <wp:extent cx="5943600" cy="59436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FA0" w:rsidRPr="006164AF" w:rsidRDefault="00920FA0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2.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the p</w:t>
      </w:r>
      <w:r w:rsidRPr="006164AF">
        <w:rPr>
          <w:rFonts w:ascii="Georgia" w:hAnsi="Georgia" w:cs="Times New Roman"/>
          <w:sz w:val="24"/>
          <w:szCs w:val="24"/>
        </w:rPr>
        <w:t xml:space="preserve">ercent of years the spawning biomass is below 20% of the unfished level for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). Red boxplots depict 7yr recruitment scenario and black boxplots depict 4yr recruitment scenario.</w:t>
      </w:r>
      <w:r w:rsidR="008A3FC4" w:rsidRPr="006164AF">
        <w:rPr>
          <w:rFonts w:ascii="Georgia" w:hAnsi="Georgia" w:cs="Times New Roman"/>
          <w:sz w:val="24"/>
          <w:szCs w:val="24"/>
        </w:rPr>
        <w:t xml:space="preserve"> Shown are medians (horizontal bars) and 25-75 quantiles (boxes).</w:t>
      </w:r>
    </w:p>
    <w:p w:rsidR="00920FA0" w:rsidRPr="006164AF" w:rsidRDefault="003C78DB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B3E3435" wp14:editId="6E4D1971">
            <wp:extent cx="5943600" cy="59436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920FA0" w:rsidRPr="006164AF" w:rsidRDefault="00920FA0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3.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Pr="006164AF">
        <w:rPr>
          <w:rFonts w:ascii="Georgia" w:hAnsi="Georgia" w:cs="Times New Roman"/>
          <w:sz w:val="24"/>
          <w:szCs w:val="24"/>
        </w:rPr>
        <w:t xml:space="preserve">bsolute annual variation in yield for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). Red boxplots depict 7yr recruitment scenario and black boxplots depict 4yr recruitment scenario.</w:t>
      </w:r>
      <w:r w:rsidR="008A3FC4" w:rsidRPr="006164AF">
        <w:rPr>
          <w:rFonts w:ascii="Georgia" w:hAnsi="Georgia" w:cs="Times New Roman"/>
          <w:sz w:val="24"/>
          <w:szCs w:val="24"/>
        </w:rPr>
        <w:t xml:space="preserve"> Shown are medians (horizontal bars) and 25-75 quantiles (boxes).</w:t>
      </w:r>
    </w:p>
    <w:p w:rsidR="00920FA0" w:rsidRPr="006164AF" w:rsidRDefault="003C78DB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AD80DC7" wp14:editId="0C7E3637">
            <wp:extent cx="5943600" cy="59436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920FA0" w:rsidRPr="006164AF" w:rsidRDefault="00920FA0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4.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 xml:space="preserve">of </w:t>
      </w:r>
      <w:r w:rsidRPr="006164AF">
        <w:rPr>
          <w:rFonts w:ascii="Georgia" w:hAnsi="Georgia" w:cs="Times New Roman"/>
          <w:sz w:val="24"/>
          <w:szCs w:val="24"/>
        </w:rPr>
        <w:t xml:space="preserve">spawning biomass at the end of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). Red boxplots depict 7yr recruitment scenario and black boxplots depict 4yr recruitment scenario.</w:t>
      </w:r>
      <w:r w:rsidR="008A3FC4" w:rsidRPr="006164AF">
        <w:rPr>
          <w:rFonts w:ascii="Georgia" w:hAnsi="Georgia" w:cs="Times New Roman"/>
          <w:sz w:val="24"/>
          <w:szCs w:val="24"/>
        </w:rPr>
        <w:t xml:space="preserve"> Shown are medians (horizontal bars) and 25-75 quantiles (boxes).</w:t>
      </w:r>
    </w:p>
    <w:p w:rsidR="006C267A" w:rsidRPr="006164AF" w:rsidRDefault="000E15C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0629412" wp14:editId="3FCFDC33">
            <wp:extent cx="5943600" cy="59436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6C267A" w:rsidRPr="006164AF" w:rsidRDefault="00920FA0" w:rsidP="006C267A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5</w:t>
      </w:r>
      <w:r w:rsidR="006C267A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="006C267A" w:rsidRPr="006164AF">
        <w:rPr>
          <w:rFonts w:ascii="Georgia" w:hAnsi="Georgia" w:cs="Times New Roman"/>
          <w:sz w:val="24"/>
          <w:szCs w:val="24"/>
        </w:rPr>
        <w:t xml:space="preserve">verage harvest per year for the simulation period (50 </w:t>
      </w:r>
      <w:proofErr w:type="spellStart"/>
      <w:r w:rsidR="006C267A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6C267A" w:rsidRPr="006164AF">
        <w:rPr>
          <w:rFonts w:ascii="Georgia" w:hAnsi="Georgia" w:cs="Times New Roman"/>
          <w:sz w:val="24"/>
          <w:szCs w:val="24"/>
        </w:rPr>
        <w:t>)</w:t>
      </w:r>
      <w:r w:rsidR="00ED5E62">
        <w:rPr>
          <w:rFonts w:ascii="Georgia" w:hAnsi="Georgia" w:cs="Times New Roman"/>
          <w:sz w:val="24"/>
          <w:szCs w:val="24"/>
        </w:rPr>
        <w:t xml:space="preserve"> for the 4yr recruitment scenario</w:t>
      </w:r>
      <w:r w:rsidR="006C267A" w:rsidRPr="006164AF">
        <w:rPr>
          <w:rFonts w:ascii="Georgia" w:hAnsi="Georgia" w:cs="Times New Roman"/>
          <w:sz w:val="24"/>
          <w:szCs w:val="24"/>
        </w:rPr>
        <w:t xml:space="preserve">. Plot depicts two scenarios regarding assessment error. In red is a scenario </w:t>
      </w:r>
      <w:proofErr w:type="gramStart"/>
      <w:r w:rsidR="006C267A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6C267A" w:rsidRPr="006164AF">
        <w:rPr>
          <w:rFonts w:ascii="Georgia" w:hAnsi="Georgia" w:cs="Times New Roman"/>
          <w:position w:val="-12"/>
          <w:sz w:val="24"/>
          <w:szCs w:val="24"/>
        </w:rPr>
        <w:object w:dxaOrig="8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8pt" o:ole="">
            <v:imagedata r:id="rId9" o:title=""/>
          </v:shape>
          <o:OLEObject Type="Embed" ProgID="Equation.3" ShapeID="_x0000_i1025" DrawAspect="Content" ObjectID="_1577615609" r:id="rId10"/>
        </w:object>
      </w:r>
      <w:r w:rsidR="006C267A" w:rsidRPr="006164AF">
        <w:rPr>
          <w:rFonts w:ascii="Georgia" w:hAnsi="Georgia" w:cs="Times New Roman"/>
          <w:sz w:val="24"/>
          <w:szCs w:val="24"/>
        </w:rPr>
        <w:t xml:space="preserve">. In black is 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the “status quo” </w:t>
      </w:r>
      <w:r w:rsidR="006C267A" w:rsidRPr="006164AF">
        <w:rPr>
          <w:rFonts w:ascii="Georgia" w:hAnsi="Georgia" w:cs="Times New Roman"/>
          <w:sz w:val="24"/>
          <w:szCs w:val="24"/>
        </w:rPr>
        <w:t xml:space="preserve">scenario </w:t>
      </w:r>
      <w:proofErr w:type="gramStart"/>
      <w:r w:rsidR="006C267A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6C267A" w:rsidRPr="006164AF">
        <w:rPr>
          <w:rFonts w:ascii="Georgia" w:hAnsi="Georgia" w:cs="Times New Roman"/>
          <w:position w:val="-12"/>
          <w:sz w:val="24"/>
          <w:szCs w:val="24"/>
        </w:rPr>
        <w:object w:dxaOrig="980" w:dyaOrig="360">
          <v:shape id="_x0000_i1026" type="#_x0000_t75" style="width:48pt;height:18pt" o:ole="">
            <v:imagedata r:id="rId11" o:title=""/>
          </v:shape>
          <o:OLEObject Type="Embed" ProgID="Equation.3" ShapeID="_x0000_i1026" DrawAspect="Content" ObjectID="_1577615610" r:id="rId12"/>
        </w:object>
      </w:r>
      <w:r w:rsidR="006C267A" w:rsidRPr="006164AF">
        <w:rPr>
          <w:rFonts w:ascii="Georgia" w:hAnsi="Georgia" w:cs="Times New Roman"/>
          <w:sz w:val="24"/>
          <w:szCs w:val="24"/>
        </w:rPr>
        <w:t xml:space="preserve">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6C267A" w:rsidRPr="006164AF" w:rsidRDefault="006C267A">
      <w:pPr>
        <w:rPr>
          <w:rFonts w:ascii="Georgia" w:hAnsi="Georgia"/>
          <w:sz w:val="24"/>
          <w:szCs w:val="24"/>
        </w:rPr>
      </w:pPr>
    </w:p>
    <w:p w:rsidR="006C267A" w:rsidRPr="006164AF" w:rsidRDefault="003F2D39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9CCC81B" wp14:editId="22B62142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B0E" w:rsidRPr="006164AF" w:rsidRDefault="00920FA0" w:rsidP="003F6B0E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6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the p</w:t>
      </w:r>
      <w:r w:rsidR="003F6B0E" w:rsidRPr="006164AF">
        <w:rPr>
          <w:rFonts w:ascii="Georgia" w:hAnsi="Georgia" w:cs="Times New Roman"/>
          <w:sz w:val="24"/>
          <w:szCs w:val="24"/>
        </w:rPr>
        <w:t>ercent of years spawning biomass is below 20% of the unfished level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F6B0E" w:rsidRPr="006164AF">
        <w:rPr>
          <w:rFonts w:ascii="Georgia" w:hAnsi="Georgia" w:cs="Times New Roman"/>
          <w:sz w:val="24"/>
          <w:szCs w:val="24"/>
        </w:rPr>
        <w:t>. Plot depicts two scenarios regarding assessment error. In red is a scenario where</w:t>
      </w:r>
      <w:r w:rsidR="00FE58BE" w:rsidRPr="006164AF">
        <w:rPr>
          <w:rFonts w:ascii="Georgia" w:hAnsi="Georgia" w:cs="Times New Roman"/>
          <w:position w:val="-12"/>
          <w:sz w:val="24"/>
          <w:szCs w:val="24"/>
        </w:rPr>
        <w:object w:dxaOrig="859" w:dyaOrig="360">
          <v:shape id="_x0000_i1027" type="#_x0000_t75" style="width:42pt;height:18pt" o:ole="">
            <v:imagedata r:id="rId9" o:title=""/>
          </v:shape>
          <o:OLEObject Type="Embed" ProgID="Equation.3" ShapeID="_x0000_i1027" DrawAspect="Content" ObjectID="_1577615611" r:id="rId14"/>
        </w:object>
      </w:r>
      <w:r w:rsidR="00FE58BE">
        <w:rPr>
          <w:rFonts w:ascii="Georgia" w:hAnsi="Georgia" w:cs="Times New Roman"/>
          <w:sz w:val="24"/>
          <w:szCs w:val="24"/>
        </w:rPr>
        <w:t xml:space="preserve">. 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In black is the “status quo”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2"/>
          <w:sz w:val="24"/>
          <w:szCs w:val="24"/>
        </w:rPr>
        <w:object w:dxaOrig="980" w:dyaOrig="360">
          <v:shape id="_x0000_i1028" type="#_x0000_t75" style="width:48pt;height:18pt" o:ole="">
            <v:imagedata r:id="rId11" o:title=""/>
          </v:shape>
          <o:OLEObject Type="Embed" ProgID="Equation.3" ShapeID="_x0000_i1028" DrawAspect="Content" ObjectID="_1577615612" r:id="rId15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6C267A" w:rsidRPr="006164AF" w:rsidRDefault="006C267A">
      <w:pPr>
        <w:rPr>
          <w:rFonts w:ascii="Georgia" w:hAnsi="Georgia"/>
          <w:sz w:val="24"/>
          <w:szCs w:val="24"/>
        </w:rPr>
      </w:pPr>
    </w:p>
    <w:p w:rsidR="006C267A" w:rsidRPr="006164AF" w:rsidRDefault="003F2D39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684C1DF" wp14:editId="5879C793">
            <wp:extent cx="5943600" cy="59436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3F6B0E" w:rsidRPr="006164AF" w:rsidRDefault="00920FA0" w:rsidP="003F6B0E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7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bsolute annual variation in yield for the simulation period (50 </w:t>
      </w:r>
      <w:proofErr w:type="spellStart"/>
      <w:r w:rsidR="003F6B0E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F6B0E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Plot depicts two scenarios regarding assessment error. In red is a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2"/>
          <w:sz w:val="24"/>
          <w:szCs w:val="24"/>
        </w:rPr>
        <w:object w:dxaOrig="859" w:dyaOrig="360">
          <v:shape id="_x0000_i1029" type="#_x0000_t75" style="width:42pt;height:18pt" o:ole="">
            <v:imagedata r:id="rId9" o:title=""/>
          </v:shape>
          <o:OLEObject Type="Embed" ProgID="Equation.3" ShapeID="_x0000_i1029" DrawAspect="Content" ObjectID="_1577615613" r:id="rId17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In black is the “status quo”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2"/>
          <w:sz w:val="24"/>
          <w:szCs w:val="24"/>
        </w:rPr>
        <w:object w:dxaOrig="980" w:dyaOrig="360">
          <v:shape id="_x0000_i1030" type="#_x0000_t75" style="width:48pt;height:18pt" o:ole="">
            <v:imagedata r:id="rId11" o:title=""/>
          </v:shape>
          <o:OLEObject Type="Embed" ProgID="Equation.3" ShapeID="_x0000_i1030" DrawAspect="Content" ObjectID="_1577615614" r:id="rId18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6C267A" w:rsidRPr="006164AF" w:rsidRDefault="006C267A">
      <w:pPr>
        <w:rPr>
          <w:rFonts w:ascii="Georgia" w:hAnsi="Georgia"/>
          <w:sz w:val="24"/>
          <w:szCs w:val="24"/>
        </w:rPr>
      </w:pPr>
    </w:p>
    <w:p w:rsidR="006C267A" w:rsidRPr="006164AF" w:rsidRDefault="003F2D39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F8C9AB1" wp14:editId="48797FB1">
            <wp:extent cx="5943600" cy="59436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3F6B0E" w:rsidRPr="006164AF" w:rsidRDefault="00920FA0" w:rsidP="003F6B0E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8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s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pawning biomass at the end of the simulation period (50 </w:t>
      </w:r>
      <w:proofErr w:type="spellStart"/>
      <w:r w:rsidR="003F6B0E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F6B0E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Plot depicts two scenarios regarding assessment error. In red is a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2"/>
          <w:sz w:val="24"/>
          <w:szCs w:val="24"/>
        </w:rPr>
        <w:object w:dxaOrig="859" w:dyaOrig="360">
          <v:shape id="_x0000_i1031" type="#_x0000_t75" style="width:42pt;height:18pt" o:ole="">
            <v:imagedata r:id="rId9" o:title=""/>
          </v:shape>
          <o:OLEObject Type="Embed" ProgID="Equation.3" ShapeID="_x0000_i1031" DrawAspect="Content" ObjectID="_1577615615" r:id="rId20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In black is the “status quo”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2"/>
          <w:sz w:val="24"/>
          <w:szCs w:val="24"/>
        </w:rPr>
        <w:object w:dxaOrig="980" w:dyaOrig="360">
          <v:shape id="_x0000_i1032" type="#_x0000_t75" style="width:48pt;height:18pt" o:ole="">
            <v:imagedata r:id="rId11" o:title=""/>
          </v:shape>
          <o:OLEObject Type="Embed" ProgID="Equation.3" ShapeID="_x0000_i1032" DrawAspect="Content" ObjectID="_1577615616" r:id="rId21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6C267A" w:rsidRPr="006164AF" w:rsidRDefault="006C267A">
      <w:pPr>
        <w:rPr>
          <w:rFonts w:ascii="Georgia" w:hAnsi="Georgia"/>
          <w:sz w:val="24"/>
          <w:szCs w:val="24"/>
        </w:rPr>
      </w:pPr>
    </w:p>
    <w:p w:rsidR="006C267A" w:rsidRPr="006164AF" w:rsidRDefault="003F2D39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0896080" wp14:editId="70AFBD77">
            <wp:extent cx="5943600" cy="59436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3F6B0E" w:rsidRPr="006164AF" w:rsidRDefault="00920FA0" w:rsidP="003F6B0E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9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verage harvest per year for the simulation period (50 </w:t>
      </w:r>
      <w:proofErr w:type="spellStart"/>
      <w:r w:rsidR="003F6B0E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F6B0E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Plot depicts two scenarios regarding assessment error. In red is a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0"/>
          <w:sz w:val="24"/>
          <w:szCs w:val="24"/>
        </w:rPr>
        <w:object w:dxaOrig="780" w:dyaOrig="320">
          <v:shape id="_x0000_i1033" type="#_x0000_t75" style="width:42pt;height:18pt" o:ole="">
            <v:imagedata r:id="rId23" o:title=""/>
          </v:shape>
          <o:OLEObject Type="Embed" ProgID="Equation.3" ShapeID="_x0000_i1033" DrawAspect="Content" ObjectID="_1577615617" r:id="rId24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In black is the “status quo”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0"/>
          <w:sz w:val="24"/>
          <w:szCs w:val="24"/>
        </w:rPr>
        <w:object w:dxaOrig="780" w:dyaOrig="320">
          <v:shape id="_x0000_i1034" type="#_x0000_t75" style="width:42pt;height:18pt" o:ole="">
            <v:imagedata r:id="rId25" o:title=""/>
          </v:shape>
          <o:OLEObject Type="Embed" ProgID="Equation.3" ShapeID="_x0000_i1034" DrawAspect="Content" ObjectID="_1577615618" r:id="rId26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3F6B0E" w:rsidRPr="006164AF" w:rsidRDefault="003F6B0E" w:rsidP="003F6B0E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 </w:t>
      </w:r>
    </w:p>
    <w:p w:rsidR="006C267A" w:rsidRPr="006164AF" w:rsidRDefault="006C267A">
      <w:pPr>
        <w:rPr>
          <w:rFonts w:ascii="Georgia" w:hAnsi="Georgia"/>
          <w:sz w:val="24"/>
          <w:szCs w:val="24"/>
        </w:rPr>
      </w:pPr>
    </w:p>
    <w:p w:rsidR="006C267A" w:rsidRPr="006164AF" w:rsidRDefault="003F2D39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156B1FA" wp14:editId="59CAB8CE">
            <wp:extent cx="5943600" cy="59436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3F6B0E" w:rsidRPr="006164AF" w:rsidRDefault="00920FA0" w:rsidP="003F6B0E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10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the p</w:t>
      </w:r>
      <w:r w:rsidR="003F6B0E" w:rsidRPr="006164AF">
        <w:rPr>
          <w:rFonts w:ascii="Georgia" w:hAnsi="Georgia" w:cs="Times New Roman"/>
          <w:sz w:val="24"/>
          <w:szCs w:val="24"/>
        </w:rPr>
        <w:t>ercent of years where spawning biomass is below 20% of the unfished level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Plot depicts two scenarios regarding assessment error. In red is a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0"/>
          <w:sz w:val="24"/>
          <w:szCs w:val="24"/>
        </w:rPr>
        <w:object w:dxaOrig="780" w:dyaOrig="320">
          <v:shape id="_x0000_i1035" type="#_x0000_t75" style="width:42pt;height:18pt" o:ole="">
            <v:imagedata r:id="rId23" o:title=""/>
          </v:shape>
          <o:OLEObject Type="Embed" ProgID="Equation.3" ShapeID="_x0000_i1035" DrawAspect="Content" ObjectID="_1577615619" r:id="rId28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In black is the “status quo”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0"/>
          <w:sz w:val="24"/>
          <w:szCs w:val="24"/>
        </w:rPr>
        <w:object w:dxaOrig="780" w:dyaOrig="320">
          <v:shape id="_x0000_i1036" type="#_x0000_t75" style="width:42pt;height:18pt" o:ole="">
            <v:imagedata r:id="rId25" o:title=""/>
          </v:shape>
          <o:OLEObject Type="Embed" ProgID="Equation.3" ShapeID="_x0000_i1036" DrawAspect="Content" ObjectID="_1577615620" r:id="rId29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6C267A" w:rsidRPr="006164AF" w:rsidRDefault="006C267A">
      <w:pPr>
        <w:rPr>
          <w:rFonts w:ascii="Georgia" w:hAnsi="Georgia"/>
          <w:sz w:val="24"/>
          <w:szCs w:val="24"/>
        </w:rPr>
      </w:pPr>
    </w:p>
    <w:p w:rsidR="006C267A" w:rsidRPr="006164AF" w:rsidRDefault="003F2D39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F51ED5" wp14:editId="496CC005">
            <wp:extent cx="5943600" cy="594360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B0E" w:rsidRPr="006164AF" w:rsidRDefault="00920FA0" w:rsidP="003F6B0E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11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bsolute annual variation in yield for the simulation period (50 </w:t>
      </w:r>
      <w:proofErr w:type="spellStart"/>
      <w:r w:rsidR="003F6B0E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F6B0E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Plot depicts two scenarios regarding assessment error. In red is a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0"/>
          <w:sz w:val="24"/>
          <w:szCs w:val="24"/>
        </w:rPr>
        <w:object w:dxaOrig="780" w:dyaOrig="320">
          <v:shape id="_x0000_i1037" type="#_x0000_t75" style="width:42pt;height:18pt" o:ole="">
            <v:imagedata r:id="rId23" o:title=""/>
          </v:shape>
          <o:OLEObject Type="Embed" ProgID="Equation.3" ShapeID="_x0000_i1037" DrawAspect="Content" ObjectID="_1577615621" r:id="rId31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In black is the “status quo”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0"/>
          <w:sz w:val="24"/>
          <w:szCs w:val="24"/>
        </w:rPr>
        <w:object w:dxaOrig="780" w:dyaOrig="320">
          <v:shape id="_x0000_i1038" type="#_x0000_t75" style="width:42pt;height:18pt" o:ole="">
            <v:imagedata r:id="rId25" o:title=""/>
          </v:shape>
          <o:OLEObject Type="Embed" ProgID="Equation.3" ShapeID="_x0000_i1038" DrawAspect="Content" ObjectID="_1577615622" r:id="rId32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6C267A" w:rsidRPr="006164AF" w:rsidRDefault="006C267A">
      <w:pPr>
        <w:rPr>
          <w:rFonts w:ascii="Georgia" w:hAnsi="Georgia"/>
          <w:sz w:val="24"/>
          <w:szCs w:val="24"/>
        </w:rPr>
      </w:pPr>
    </w:p>
    <w:p w:rsidR="006C267A" w:rsidRPr="006164AF" w:rsidRDefault="003F2D39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E2159A2" wp14:editId="3840E308">
            <wp:extent cx="5943600" cy="59436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B0E" w:rsidRPr="006164AF" w:rsidRDefault="00920FA0" w:rsidP="003F6B0E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12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s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pawning biomass at the end of the simulation period (50 </w:t>
      </w:r>
      <w:proofErr w:type="spellStart"/>
      <w:r w:rsidR="003F6B0E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F6B0E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F6B0E" w:rsidRPr="006164AF">
        <w:rPr>
          <w:rFonts w:ascii="Georgia" w:hAnsi="Georgia" w:cs="Times New Roman"/>
          <w:sz w:val="24"/>
          <w:szCs w:val="24"/>
        </w:rPr>
        <w:t xml:space="preserve">. Plot depicts two scenarios regarding assessment error. In red is a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0"/>
          <w:sz w:val="24"/>
          <w:szCs w:val="24"/>
        </w:rPr>
        <w:object w:dxaOrig="780" w:dyaOrig="320">
          <v:shape id="_x0000_i1039" type="#_x0000_t75" style="width:42pt;height:18pt" o:ole="">
            <v:imagedata r:id="rId23" o:title=""/>
          </v:shape>
          <o:OLEObject Type="Embed" ProgID="Equation.3" ShapeID="_x0000_i1039" DrawAspect="Content" ObjectID="_1577615623" r:id="rId34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In black is the “status quo” scenario </w:t>
      </w:r>
      <w:proofErr w:type="gramStart"/>
      <w:r w:rsidR="003F6B0E" w:rsidRPr="006164AF">
        <w:rPr>
          <w:rFonts w:ascii="Georgia" w:hAnsi="Georgia" w:cs="Times New Roman"/>
          <w:sz w:val="24"/>
          <w:szCs w:val="24"/>
        </w:rPr>
        <w:t xml:space="preserve">where </w:t>
      </w:r>
      <w:proofErr w:type="gramEnd"/>
      <w:r w:rsidR="003F6B0E" w:rsidRPr="006164AF">
        <w:rPr>
          <w:rFonts w:ascii="Georgia" w:hAnsi="Georgia" w:cs="Times New Roman"/>
          <w:position w:val="-10"/>
          <w:sz w:val="24"/>
          <w:szCs w:val="24"/>
        </w:rPr>
        <w:object w:dxaOrig="780" w:dyaOrig="320">
          <v:shape id="_x0000_i1040" type="#_x0000_t75" style="width:42pt;height:18pt" o:ole="">
            <v:imagedata r:id="rId25" o:title=""/>
          </v:shape>
          <o:OLEObject Type="Embed" ProgID="Equation.3" ShapeID="_x0000_i1040" DrawAspect="Content" ObjectID="_1577615624" r:id="rId35"/>
        </w:object>
      </w:r>
      <w:r w:rsidR="003F6B0E" w:rsidRPr="006164AF">
        <w:rPr>
          <w:rFonts w:ascii="Georgia" w:hAnsi="Georgia" w:cs="Times New Roman"/>
          <w:sz w:val="24"/>
          <w:szCs w:val="24"/>
        </w:rPr>
        <w:t xml:space="preserve">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6C267A" w:rsidRPr="006164AF" w:rsidRDefault="006F7015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35DA69D" wp14:editId="2677DA3A">
            <wp:extent cx="5943600" cy="594360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7100AF" w:rsidRPr="006164AF" w:rsidRDefault="007100AF" w:rsidP="007100AF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13.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Pr="006164AF">
        <w:rPr>
          <w:rFonts w:ascii="Georgia" w:hAnsi="Georgia" w:cs="Times New Roman"/>
          <w:sz w:val="24"/>
          <w:szCs w:val="24"/>
        </w:rPr>
        <w:t xml:space="preserve">verage harvest per year for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Pr="006164AF">
        <w:rPr>
          <w:rFonts w:ascii="Georgia" w:hAnsi="Georgia" w:cs="Times New Roman"/>
          <w:sz w:val="24"/>
          <w:szCs w:val="24"/>
        </w:rPr>
        <w:t xml:space="preserve">. Plot depicts two scenarios. In black is the status quo scenario, where bounds of the uniform distribution defining the probability of a boom year class are as specified in the text. </w:t>
      </w:r>
      <w:r w:rsidR="00F15769">
        <w:rPr>
          <w:rFonts w:ascii="Georgia" w:hAnsi="Georgia" w:cs="Times New Roman"/>
          <w:sz w:val="24"/>
          <w:szCs w:val="24"/>
        </w:rPr>
        <w:t>I</w:t>
      </w:r>
      <w:r w:rsidRPr="006164AF">
        <w:rPr>
          <w:rFonts w:ascii="Georgia" w:hAnsi="Georgia" w:cs="Times New Roman"/>
          <w:sz w:val="24"/>
          <w:szCs w:val="24"/>
        </w:rPr>
        <w:t xml:space="preserve">n red is a scenario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down</w:t>
      </w:r>
      <w:r w:rsidRPr="006164AF">
        <w:rPr>
          <w:rFonts w:ascii="Georgia" w:hAnsi="Georgia" w:cs="Times New Roman"/>
          <w:sz w:val="24"/>
          <w:szCs w:val="24"/>
        </w:rPr>
        <w:t xml:space="preserve"> by 0.05. Shown are medians (horizontal bars) and 25-75 quantiles (boxes).</w:t>
      </w:r>
    </w:p>
    <w:p w:rsidR="007100AF" w:rsidRPr="006164AF" w:rsidRDefault="007100AF">
      <w:pPr>
        <w:rPr>
          <w:rFonts w:ascii="Georgia" w:hAnsi="Georgia"/>
          <w:sz w:val="24"/>
          <w:szCs w:val="24"/>
        </w:rPr>
      </w:pPr>
    </w:p>
    <w:p w:rsidR="008E4043" w:rsidRPr="006164AF" w:rsidRDefault="006F7015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C7C3835" wp14:editId="0040ED7D">
            <wp:extent cx="5943600" cy="59436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0AF" w:rsidRPr="006164AF" w:rsidRDefault="007100AF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14.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r</w:t>
      </w:r>
      <w:r w:rsidRPr="006164AF">
        <w:rPr>
          <w:rFonts w:ascii="Georgia" w:hAnsi="Georgia" w:cs="Times New Roman"/>
          <w:sz w:val="24"/>
          <w:szCs w:val="24"/>
        </w:rPr>
        <w:t xml:space="preserve">isk, </w:t>
      </w:r>
      <w:r w:rsidR="00F63FDD">
        <w:rPr>
          <w:rFonts w:ascii="Georgia" w:hAnsi="Georgia" w:cs="Times New Roman"/>
          <w:sz w:val="24"/>
          <w:szCs w:val="24"/>
        </w:rPr>
        <w:t xml:space="preserve">or </w:t>
      </w:r>
      <w:r w:rsidRPr="006164AF">
        <w:rPr>
          <w:rFonts w:ascii="Georgia" w:hAnsi="Georgia" w:cs="Times New Roman"/>
          <w:sz w:val="24"/>
          <w:szCs w:val="24"/>
        </w:rPr>
        <w:t xml:space="preserve">percentage of years in each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 where SB is below 20% of the unfished size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Pr="006164AF">
        <w:rPr>
          <w:rFonts w:ascii="Georgia" w:hAnsi="Georgia" w:cs="Times New Roman"/>
          <w:sz w:val="24"/>
          <w:szCs w:val="24"/>
        </w:rPr>
        <w:t>. Plot depicts two scenarios. In black is the status quo scenario, where bounds of the uniform distribution defining the probability of a boom year class are as specified in the t</w:t>
      </w:r>
      <w:r w:rsidR="00ED5E62">
        <w:rPr>
          <w:rFonts w:ascii="Georgia" w:hAnsi="Georgia" w:cs="Times New Roman"/>
          <w:sz w:val="24"/>
          <w:szCs w:val="24"/>
        </w:rPr>
        <w:t>ext. I</w:t>
      </w:r>
      <w:r w:rsidRPr="006164AF">
        <w:rPr>
          <w:rFonts w:ascii="Georgia" w:hAnsi="Georgia" w:cs="Times New Roman"/>
          <w:sz w:val="24"/>
          <w:szCs w:val="24"/>
        </w:rPr>
        <w:t xml:space="preserve">n red is a scenario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down</w:t>
      </w:r>
      <w:r w:rsidRPr="006164AF">
        <w:rPr>
          <w:rFonts w:ascii="Georgia" w:hAnsi="Georgia" w:cs="Times New Roman"/>
          <w:sz w:val="24"/>
          <w:szCs w:val="24"/>
        </w:rPr>
        <w:t xml:space="preserve"> by 0.05. Shown are medians (horizontal bars) and 25-75 quantiles (boxes).</w:t>
      </w:r>
    </w:p>
    <w:p w:rsidR="008E4043" w:rsidRPr="006164AF" w:rsidRDefault="006F7015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FFE3C14" wp14:editId="7FCA0717">
            <wp:extent cx="5943600" cy="594360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7100AF" w:rsidRPr="006164AF" w:rsidRDefault="007100AF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15.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Pr="006164AF">
        <w:rPr>
          <w:rFonts w:ascii="Georgia" w:hAnsi="Georgia" w:cs="Times New Roman"/>
          <w:sz w:val="24"/>
          <w:szCs w:val="24"/>
        </w:rPr>
        <w:t xml:space="preserve">bsolute annual variation in yield for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Pr="006164AF">
        <w:rPr>
          <w:rFonts w:ascii="Georgia" w:hAnsi="Georgia" w:cs="Times New Roman"/>
          <w:sz w:val="24"/>
          <w:szCs w:val="24"/>
        </w:rPr>
        <w:t>. Plot depicts two scenarios. In black is the status quo scenario, where bounds of the uniform distribution defining the probability of a boom year class are</w:t>
      </w:r>
      <w:r w:rsidR="00ED5E62">
        <w:rPr>
          <w:rFonts w:ascii="Georgia" w:hAnsi="Georgia" w:cs="Times New Roman"/>
          <w:sz w:val="24"/>
          <w:szCs w:val="24"/>
        </w:rPr>
        <w:t xml:space="preserve"> as specified in the text. I</w:t>
      </w:r>
      <w:r w:rsidRPr="006164AF">
        <w:rPr>
          <w:rFonts w:ascii="Georgia" w:hAnsi="Georgia" w:cs="Times New Roman"/>
          <w:sz w:val="24"/>
          <w:szCs w:val="24"/>
        </w:rPr>
        <w:t xml:space="preserve">n red is a scenario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down</w:t>
      </w:r>
      <w:r w:rsidRPr="006164AF">
        <w:rPr>
          <w:rFonts w:ascii="Georgia" w:hAnsi="Georgia" w:cs="Times New Roman"/>
          <w:sz w:val="24"/>
          <w:szCs w:val="24"/>
        </w:rPr>
        <w:t xml:space="preserve"> by 0.05. Shown are medians (horizontal bars) and 25-75 quantiles (boxes).</w:t>
      </w:r>
    </w:p>
    <w:p w:rsidR="008E4043" w:rsidRPr="006164AF" w:rsidRDefault="006F7015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75E28C5" wp14:editId="7ECE2184">
            <wp:extent cx="5943600" cy="594360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0AF" w:rsidRPr="006164AF" w:rsidRDefault="007100AF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16.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s</w:t>
      </w:r>
      <w:r w:rsidRPr="006164AF">
        <w:rPr>
          <w:rFonts w:ascii="Georgia" w:hAnsi="Georgia" w:cs="Times New Roman"/>
          <w:sz w:val="24"/>
          <w:szCs w:val="24"/>
        </w:rPr>
        <w:t xml:space="preserve">pawning biomass at the end of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Pr="006164AF">
        <w:rPr>
          <w:rFonts w:ascii="Georgia" w:hAnsi="Georgia" w:cs="Times New Roman"/>
          <w:sz w:val="24"/>
          <w:szCs w:val="24"/>
        </w:rPr>
        <w:t>. Plot depicts two scenarios. In black is the status quo scenario, where bounds of the uniform distribution defining the probability of a boom year class are</w:t>
      </w:r>
      <w:r w:rsidR="00ED5E62">
        <w:rPr>
          <w:rFonts w:ascii="Georgia" w:hAnsi="Georgia" w:cs="Times New Roman"/>
          <w:sz w:val="24"/>
          <w:szCs w:val="24"/>
        </w:rPr>
        <w:t xml:space="preserve"> as specified in the text. I</w:t>
      </w:r>
      <w:r w:rsidRPr="006164AF">
        <w:rPr>
          <w:rFonts w:ascii="Georgia" w:hAnsi="Georgia" w:cs="Times New Roman"/>
          <w:sz w:val="24"/>
          <w:szCs w:val="24"/>
        </w:rPr>
        <w:t xml:space="preserve">n red is a scenario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down</w:t>
      </w:r>
      <w:r w:rsidRPr="006164AF">
        <w:rPr>
          <w:rFonts w:ascii="Georgia" w:hAnsi="Georgia" w:cs="Times New Roman"/>
          <w:sz w:val="24"/>
          <w:szCs w:val="24"/>
        </w:rPr>
        <w:t xml:space="preserve"> by 0.05. Shown are medians (horizontal bars) and 25-75 quantiles (boxes).</w:t>
      </w:r>
    </w:p>
    <w:p w:rsidR="00B11A64" w:rsidRPr="006164AF" w:rsidRDefault="006F7015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5D3F9DD" wp14:editId="63B698C0">
            <wp:extent cx="5943600" cy="594360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7100AF" w:rsidRPr="006164AF" w:rsidRDefault="007100AF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17.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Pr="006164AF">
        <w:rPr>
          <w:rFonts w:ascii="Georgia" w:hAnsi="Georgia" w:cs="Times New Roman"/>
          <w:sz w:val="24"/>
          <w:szCs w:val="24"/>
        </w:rPr>
        <w:t xml:space="preserve">verage harvest per year for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Pr="006164AF">
        <w:rPr>
          <w:rFonts w:ascii="Georgia" w:hAnsi="Georgia" w:cs="Times New Roman"/>
          <w:sz w:val="24"/>
          <w:szCs w:val="24"/>
        </w:rPr>
        <w:t>. Plot depicts two scenarios. In black is the status quo scenario, where bounds of the uniform distribution defining the probability of a boom year class are</w:t>
      </w:r>
      <w:r w:rsidR="00ED5E62">
        <w:rPr>
          <w:rFonts w:ascii="Georgia" w:hAnsi="Georgia" w:cs="Times New Roman"/>
          <w:sz w:val="24"/>
          <w:szCs w:val="24"/>
        </w:rPr>
        <w:t xml:space="preserve"> as specified in the text. I</w:t>
      </w:r>
      <w:r w:rsidRPr="006164AF">
        <w:rPr>
          <w:rFonts w:ascii="Georgia" w:hAnsi="Georgia" w:cs="Times New Roman"/>
          <w:sz w:val="24"/>
          <w:szCs w:val="24"/>
        </w:rPr>
        <w:t xml:space="preserve">n red is a scenario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up</w:t>
      </w:r>
      <w:r w:rsidRPr="006164AF">
        <w:rPr>
          <w:rFonts w:ascii="Georgia" w:hAnsi="Georgia" w:cs="Times New Roman"/>
          <w:sz w:val="24"/>
          <w:szCs w:val="24"/>
        </w:rPr>
        <w:t xml:space="preserve"> by 0.05. Shown are medians (horizontal bars) and 25-75 quantiles (boxes).</w:t>
      </w:r>
    </w:p>
    <w:p w:rsidR="00B11A64" w:rsidRPr="006164AF" w:rsidRDefault="006F7015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2433DDD" wp14:editId="505A419F">
            <wp:extent cx="5943600" cy="594360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0AF" w:rsidRPr="006164AF" w:rsidRDefault="007100AF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18.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r</w:t>
      </w:r>
      <w:r w:rsidRPr="006164AF">
        <w:rPr>
          <w:rFonts w:ascii="Georgia" w:hAnsi="Georgia" w:cs="Times New Roman"/>
          <w:sz w:val="24"/>
          <w:szCs w:val="24"/>
        </w:rPr>
        <w:t xml:space="preserve">isk, </w:t>
      </w:r>
      <w:r w:rsidR="00F63FDD">
        <w:rPr>
          <w:rFonts w:ascii="Georgia" w:hAnsi="Georgia" w:cs="Times New Roman"/>
          <w:sz w:val="24"/>
          <w:szCs w:val="24"/>
        </w:rPr>
        <w:t xml:space="preserve">the </w:t>
      </w:r>
      <w:r w:rsidRPr="006164AF">
        <w:rPr>
          <w:rFonts w:ascii="Georgia" w:hAnsi="Georgia" w:cs="Times New Roman"/>
          <w:sz w:val="24"/>
          <w:szCs w:val="24"/>
        </w:rPr>
        <w:t>percentage of years in a simulation with SB &lt; 20% of the unfished level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Pr="006164AF">
        <w:rPr>
          <w:rFonts w:ascii="Georgia" w:hAnsi="Georgia" w:cs="Times New Roman"/>
          <w:sz w:val="24"/>
          <w:szCs w:val="24"/>
        </w:rPr>
        <w:t>. Plot depicts two scenarios. In black is the status quo scenario, where bounds of the uniform distribution defining the probability of a boom year class are</w:t>
      </w:r>
      <w:r w:rsidR="00ED5E62">
        <w:rPr>
          <w:rFonts w:ascii="Georgia" w:hAnsi="Georgia" w:cs="Times New Roman"/>
          <w:sz w:val="24"/>
          <w:szCs w:val="24"/>
        </w:rPr>
        <w:t xml:space="preserve"> as specified in the text. I</w:t>
      </w:r>
      <w:r w:rsidRPr="006164AF">
        <w:rPr>
          <w:rFonts w:ascii="Georgia" w:hAnsi="Georgia" w:cs="Times New Roman"/>
          <w:sz w:val="24"/>
          <w:szCs w:val="24"/>
        </w:rPr>
        <w:t xml:space="preserve">n red is a scenario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up</w:t>
      </w:r>
      <w:r w:rsidRPr="006164AF">
        <w:rPr>
          <w:rFonts w:ascii="Georgia" w:hAnsi="Georgia" w:cs="Times New Roman"/>
          <w:sz w:val="24"/>
          <w:szCs w:val="24"/>
        </w:rPr>
        <w:t xml:space="preserve"> by 0.05. Shown are medians (horizontal bars) and 25-75 quantiles (boxes).</w:t>
      </w:r>
    </w:p>
    <w:p w:rsidR="00B11A64" w:rsidRPr="006164AF" w:rsidRDefault="006F7015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E3B90DD" wp14:editId="43C7C9C6">
            <wp:extent cx="5943600" cy="594360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0AF" w:rsidRPr="006164AF" w:rsidRDefault="007100AF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19.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Pr="006164AF">
        <w:rPr>
          <w:rFonts w:ascii="Georgia" w:hAnsi="Georgia" w:cs="Times New Roman"/>
          <w:sz w:val="24"/>
          <w:szCs w:val="24"/>
        </w:rPr>
        <w:t xml:space="preserve">bsolute annual variation in yield for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Pr="006164AF">
        <w:rPr>
          <w:rFonts w:ascii="Georgia" w:hAnsi="Georgia" w:cs="Times New Roman"/>
          <w:sz w:val="24"/>
          <w:szCs w:val="24"/>
        </w:rPr>
        <w:t>. Plot depicts two scenarios. In black is the status quo scenario, where bounds of the uniform distribution defining the probability of a boom year class are</w:t>
      </w:r>
      <w:r w:rsidR="00ED5E62">
        <w:rPr>
          <w:rFonts w:ascii="Georgia" w:hAnsi="Georgia" w:cs="Times New Roman"/>
          <w:sz w:val="24"/>
          <w:szCs w:val="24"/>
        </w:rPr>
        <w:t xml:space="preserve"> as specified in the text. I</w:t>
      </w:r>
      <w:r w:rsidRPr="006164AF">
        <w:rPr>
          <w:rFonts w:ascii="Georgia" w:hAnsi="Georgia" w:cs="Times New Roman"/>
          <w:sz w:val="24"/>
          <w:szCs w:val="24"/>
        </w:rPr>
        <w:t xml:space="preserve">n red is a scenario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up</w:t>
      </w:r>
      <w:r w:rsidRPr="006164AF">
        <w:rPr>
          <w:rFonts w:ascii="Georgia" w:hAnsi="Georgia" w:cs="Times New Roman"/>
          <w:sz w:val="24"/>
          <w:szCs w:val="24"/>
        </w:rPr>
        <w:t xml:space="preserve"> by 0.05. Shown are medians (horizontal bars) and 25-75 quantiles (boxes).</w:t>
      </w:r>
    </w:p>
    <w:p w:rsidR="00B11A64" w:rsidRPr="006164AF" w:rsidRDefault="00910F6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CDF3538" wp14:editId="22D3C546">
            <wp:extent cx="5943600" cy="594360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0AF" w:rsidRPr="006164AF" w:rsidRDefault="007100AF">
      <w:pPr>
        <w:rPr>
          <w:rFonts w:ascii="Georgia" w:hAnsi="Georgia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 xml:space="preserve">20.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s</w:t>
      </w:r>
      <w:r w:rsidRPr="006164AF">
        <w:rPr>
          <w:rFonts w:ascii="Georgia" w:hAnsi="Georgia" w:cs="Times New Roman"/>
          <w:sz w:val="24"/>
          <w:szCs w:val="24"/>
        </w:rPr>
        <w:t xml:space="preserve">pawning biomass at the end of the simulation period (50 </w:t>
      </w:r>
      <w:proofErr w:type="spellStart"/>
      <w:r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Pr="006164AF">
        <w:rPr>
          <w:rFonts w:ascii="Georgia" w:hAnsi="Georgia" w:cs="Times New Roman"/>
          <w:sz w:val="24"/>
          <w:szCs w:val="24"/>
        </w:rPr>
        <w:t>. Plot depicts two scenarios. In black is the status quo scenario, where bounds of the uniform distribution defining the probability of a boom year class are</w:t>
      </w:r>
      <w:r w:rsidR="00ED5E62">
        <w:rPr>
          <w:rFonts w:ascii="Georgia" w:hAnsi="Georgia" w:cs="Times New Roman"/>
          <w:sz w:val="24"/>
          <w:szCs w:val="24"/>
        </w:rPr>
        <w:t xml:space="preserve"> as specified in the text. I</w:t>
      </w:r>
      <w:r w:rsidRPr="006164AF">
        <w:rPr>
          <w:rFonts w:ascii="Georgia" w:hAnsi="Georgia" w:cs="Times New Roman"/>
          <w:sz w:val="24"/>
          <w:szCs w:val="24"/>
        </w:rPr>
        <w:t xml:space="preserve">n red is a scenario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up</w:t>
      </w:r>
      <w:r w:rsidRPr="006164AF">
        <w:rPr>
          <w:rFonts w:ascii="Georgia" w:hAnsi="Georgia" w:cs="Times New Roman"/>
          <w:sz w:val="24"/>
          <w:szCs w:val="24"/>
        </w:rPr>
        <w:t xml:space="preserve"> by 0.05. Shown are medians (horizontal bars) and 25-75 quantiles (boxes).</w:t>
      </w:r>
    </w:p>
    <w:p w:rsidR="00982E21" w:rsidRPr="006164AF" w:rsidRDefault="00910F6A">
      <w:pPr>
        <w:rPr>
          <w:rFonts w:ascii="Georgia" w:hAnsi="Georgia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7098C67" wp14:editId="04407E6D">
            <wp:extent cx="5943600" cy="594360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 w:cs="Times New Roman"/>
          <w:sz w:val="24"/>
          <w:szCs w:val="24"/>
        </w:rPr>
        <w:t xml:space="preserve"> </w:t>
      </w:r>
      <w:r w:rsidR="007100AF"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="007100AF" w:rsidRPr="006164AF">
        <w:rPr>
          <w:rFonts w:ascii="Georgia" w:hAnsi="Georgia" w:cs="Times New Roman"/>
          <w:sz w:val="24"/>
          <w:szCs w:val="24"/>
        </w:rPr>
        <w:t>21</w:t>
      </w:r>
      <w:r w:rsidR="00982E21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="00491730" w:rsidRPr="006164AF">
        <w:rPr>
          <w:rFonts w:ascii="Georgia" w:hAnsi="Georgia" w:cs="Times New Roman"/>
          <w:sz w:val="24"/>
          <w:szCs w:val="24"/>
        </w:rPr>
        <w:t xml:space="preserve">verage harvest per year for the simulation period (50 </w:t>
      </w:r>
      <w:proofErr w:type="spellStart"/>
      <w:r w:rsidR="00491730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491730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491730" w:rsidRPr="006164AF">
        <w:rPr>
          <w:rFonts w:ascii="Georgia" w:hAnsi="Georgia" w:cs="Times New Roman"/>
          <w:sz w:val="24"/>
          <w:szCs w:val="24"/>
        </w:rPr>
        <w:t xml:space="preserve">. Plot depicts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two </w:t>
      </w:r>
      <w:r w:rsidR="00491730" w:rsidRPr="006164AF">
        <w:rPr>
          <w:rFonts w:ascii="Georgia" w:hAnsi="Georgia" w:cs="Times New Roman"/>
          <w:sz w:val="24"/>
          <w:szCs w:val="24"/>
        </w:rPr>
        <w:t>scenario</w:t>
      </w:r>
      <w:r w:rsidR="003E79F4" w:rsidRPr="006164AF">
        <w:rPr>
          <w:rFonts w:ascii="Georgia" w:hAnsi="Georgia" w:cs="Times New Roman"/>
          <w:sz w:val="24"/>
          <w:szCs w:val="24"/>
        </w:rPr>
        <w:t>s</w:t>
      </w:r>
      <w:r w:rsidR="00491730" w:rsidRPr="006164AF">
        <w:rPr>
          <w:rFonts w:ascii="Georgia" w:hAnsi="Georgia" w:cs="Times New Roman"/>
          <w:sz w:val="24"/>
          <w:szCs w:val="24"/>
        </w:rPr>
        <w:t xml:space="preserve"> where the bounds of the uniform distribution defining the probability of a boom year class are shifted </w:t>
      </w:r>
      <w:r w:rsidR="00491730" w:rsidRPr="006164AF">
        <w:rPr>
          <w:rFonts w:ascii="Georgia" w:hAnsi="Georgia" w:cs="Times New Roman"/>
          <w:b/>
          <w:sz w:val="24"/>
          <w:szCs w:val="24"/>
        </w:rPr>
        <w:t>down</w:t>
      </w:r>
      <w:r w:rsidR="00491730" w:rsidRPr="006164AF">
        <w:rPr>
          <w:rFonts w:ascii="Georgia" w:hAnsi="Georgia" w:cs="Times New Roman"/>
          <w:sz w:val="24"/>
          <w:szCs w:val="24"/>
        </w:rPr>
        <w:t xml:space="preserve"> by 0.05.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In red is a scenario where unfished spawning biomass is incorrectly assumed according to the status quo scenario (original uniform bounds). In black is a scenario where the unfished biomass is calculated 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(“correctly”)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according to the shift in productivity (shift in bounds of the uniform).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982E21" w:rsidRPr="006164AF" w:rsidRDefault="00982E21">
      <w:pPr>
        <w:rPr>
          <w:rFonts w:ascii="Georgia" w:hAnsi="Georgia"/>
          <w:sz w:val="24"/>
          <w:szCs w:val="24"/>
        </w:rPr>
      </w:pPr>
    </w:p>
    <w:p w:rsidR="00982E21" w:rsidRPr="006164AF" w:rsidRDefault="00910F6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F10BD14" wp14:editId="4389F92B">
            <wp:extent cx="5943600" cy="594360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9F4" w:rsidRPr="006164AF" w:rsidRDefault="007100AF" w:rsidP="003E79F4">
      <w:pPr>
        <w:rPr>
          <w:rFonts w:ascii="Georgia" w:hAnsi="Georgia" w:cs="Times New Roman"/>
          <w:sz w:val="24"/>
          <w:szCs w:val="24"/>
        </w:rPr>
      </w:pPr>
      <w:r w:rsidRPr="00910F6A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910F6A">
        <w:rPr>
          <w:rFonts w:ascii="Georgia" w:hAnsi="Georgia" w:cs="Times New Roman"/>
          <w:sz w:val="24"/>
          <w:szCs w:val="24"/>
        </w:rPr>
        <w:t>22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the p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ercent of years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spawning biomass is below 1 million kg (risk) for the simulation period (50 </w:t>
      </w:r>
      <w:proofErr w:type="spellStart"/>
      <w:r w:rsidR="003E79F4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E79F4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Plot depicts two scenarios where the bounds of the uniform distribution defining the probability of a boom year class are shifted </w:t>
      </w:r>
      <w:r w:rsidR="003E79F4" w:rsidRPr="006164AF">
        <w:rPr>
          <w:rFonts w:ascii="Georgia" w:hAnsi="Georgia" w:cs="Times New Roman"/>
          <w:b/>
          <w:sz w:val="24"/>
          <w:szCs w:val="24"/>
        </w:rPr>
        <w:t>down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by 0.05. In red is a scenario where unfished spawning biomass is incorrectly assumed according to the status quo scenario (original uniform bounds). In black is a scenario where the unfished biomass is calculated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 (“correctly”)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according to the shift in productivity (shift in bounds of the uniform).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3E79F4" w:rsidRPr="006164AF" w:rsidRDefault="003E79F4">
      <w:pPr>
        <w:rPr>
          <w:rFonts w:ascii="Georgia" w:hAnsi="Georgia"/>
          <w:sz w:val="24"/>
          <w:szCs w:val="24"/>
        </w:rPr>
      </w:pPr>
    </w:p>
    <w:p w:rsidR="00982E21" w:rsidRPr="006164AF" w:rsidRDefault="00910F6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847403F" wp14:editId="58C616A2">
            <wp:extent cx="5943600" cy="594360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3E79F4" w:rsidRPr="006164AF" w:rsidRDefault="007100AF" w:rsidP="003E79F4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23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="002A3848" w:rsidRPr="006164AF">
        <w:rPr>
          <w:rFonts w:ascii="Georgia" w:hAnsi="Georgia" w:cs="Times New Roman"/>
          <w:sz w:val="24"/>
          <w:szCs w:val="24"/>
        </w:rPr>
        <w:t>bsolute annual variation in yield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for the simulation period (50 </w:t>
      </w:r>
      <w:proofErr w:type="spellStart"/>
      <w:r w:rsidR="003E79F4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E79F4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Plot depicts two scenarios where the bounds of the uniform distribution defining the probability of a boom year class are shifted </w:t>
      </w:r>
      <w:r w:rsidR="003E79F4" w:rsidRPr="006164AF">
        <w:rPr>
          <w:rFonts w:ascii="Georgia" w:hAnsi="Georgia" w:cs="Times New Roman"/>
          <w:b/>
          <w:sz w:val="24"/>
          <w:szCs w:val="24"/>
        </w:rPr>
        <w:t>down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by 0.05. In red is a scenario where unfished spawning biomass is incorrectly assumed according to the status quo scenario (original uniform bounds). In black is a scenario where the unfished biomass is calculated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 (“correctly”)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according to the shift in productivity (shift in bounds of the uniform).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3E79F4" w:rsidRPr="006164AF" w:rsidRDefault="003E79F4">
      <w:pPr>
        <w:rPr>
          <w:rFonts w:ascii="Georgia" w:hAnsi="Georgia"/>
          <w:sz w:val="24"/>
          <w:szCs w:val="24"/>
        </w:rPr>
      </w:pPr>
    </w:p>
    <w:p w:rsidR="00982E21" w:rsidRPr="006164AF" w:rsidRDefault="00910F6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3FABF1F" wp14:editId="339FF17B">
            <wp:extent cx="5943600" cy="594360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4AF">
        <w:rPr>
          <w:rFonts w:ascii="Georgia" w:hAnsi="Georgia"/>
          <w:noProof/>
          <w:sz w:val="24"/>
          <w:szCs w:val="24"/>
        </w:rPr>
        <w:t xml:space="preserve"> </w:t>
      </w:r>
    </w:p>
    <w:p w:rsidR="003E79F4" w:rsidRPr="006164AF" w:rsidRDefault="00920FA0" w:rsidP="003E79F4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>Sup</w:t>
      </w:r>
      <w:r w:rsidR="007100AF" w:rsidRPr="006164AF">
        <w:rPr>
          <w:rFonts w:ascii="Georgia" w:hAnsi="Georgia" w:cs="Times New Roman"/>
          <w:sz w:val="24"/>
          <w:szCs w:val="24"/>
        </w:rPr>
        <w:t xml:space="preserve">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="007100AF" w:rsidRPr="006164AF">
        <w:rPr>
          <w:rFonts w:ascii="Georgia" w:hAnsi="Georgia" w:cs="Times New Roman"/>
          <w:sz w:val="24"/>
          <w:szCs w:val="24"/>
        </w:rPr>
        <w:t>24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s</w:t>
      </w:r>
      <w:r w:rsidR="002A3848" w:rsidRPr="006164AF">
        <w:rPr>
          <w:rFonts w:ascii="Georgia" w:hAnsi="Georgia" w:cs="Times New Roman"/>
          <w:sz w:val="24"/>
          <w:szCs w:val="24"/>
        </w:rPr>
        <w:t>pawning biomass at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the 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end of the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simulation period (50 </w:t>
      </w:r>
      <w:proofErr w:type="spellStart"/>
      <w:r w:rsidR="003E79F4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E79F4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Plot depicts two scenarios where the bounds of the uniform distribution defining the probability of a boom year class are shifted </w:t>
      </w:r>
      <w:r w:rsidR="003E79F4" w:rsidRPr="006164AF">
        <w:rPr>
          <w:rFonts w:ascii="Georgia" w:hAnsi="Georgia" w:cs="Times New Roman"/>
          <w:b/>
          <w:sz w:val="24"/>
          <w:szCs w:val="24"/>
        </w:rPr>
        <w:t>down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by 0.05. In red is a scenario where unfished spawning biomass is incorrectly assumed according to the status quo scenario (original uniform bounds). In black is a scenario where the unfished biomass is calculated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 (“correctly”)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according to the shift in productivity (shift in bounds of the uniform).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3E79F4" w:rsidRPr="006164AF" w:rsidRDefault="003E79F4">
      <w:pPr>
        <w:rPr>
          <w:rFonts w:ascii="Georgia" w:hAnsi="Georgia"/>
          <w:sz w:val="24"/>
          <w:szCs w:val="24"/>
        </w:rPr>
      </w:pPr>
    </w:p>
    <w:p w:rsidR="00982E21" w:rsidRPr="006164AF" w:rsidRDefault="00910F6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B164083" wp14:editId="0ADA8945">
            <wp:extent cx="5943600" cy="59436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9F4" w:rsidRPr="006164AF" w:rsidRDefault="007100AF" w:rsidP="003E79F4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25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verage harvest per year for the simulation period (50 </w:t>
      </w:r>
      <w:proofErr w:type="spellStart"/>
      <w:r w:rsidR="003E79F4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E79F4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Plot depicts two scenarios where the bounds of the uniform distribution defining the probability of a boom year class are shifted </w:t>
      </w:r>
      <w:r w:rsidR="002A3848" w:rsidRPr="006164AF">
        <w:rPr>
          <w:rFonts w:ascii="Georgia" w:hAnsi="Georgia" w:cs="Times New Roman"/>
          <w:b/>
          <w:sz w:val="24"/>
          <w:szCs w:val="24"/>
        </w:rPr>
        <w:t>up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by 0.05. In red is a scenario where unfished spawning biomass is incorrectly assumed according to the status quo scenario (original uniform bounds). In black is a scenario where the unfished biomass is calculated 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(“correctly”)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according to the shift in productivity (shift in bounds of the uniform).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3E79F4" w:rsidRPr="006164AF" w:rsidRDefault="003E79F4">
      <w:pPr>
        <w:rPr>
          <w:rFonts w:ascii="Georgia" w:hAnsi="Georgia"/>
          <w:sz w:val="24"/>
          <w:szCs w:val="24"/>
        </w:rPr>
      </w:pPr>
    </w:p>
    <w:p w:rsidR="00982E21" w:rsidRPr="006164AF" w:rsidRDefault="00910F6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43D0562" wp14:editId="1919DDF8">
            <wp:extent cx="5943600" cy="594360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9F4" w:rsidRPr="006164AF" w:rsidRDefault="007100AF" w:rsidP="003E79F4">
      <w:pPr>
        <w:rPr>
          <w:rFonts w:ascii="Georgia" w:hAnsi="Georgia" w:cs="Times New Roman"/>
          <w:sz w:val="24"/>
          <w:szCs w:val="24"/>
        </w:rPr>
      </w:pPr>
      <w:r w:rsidRPr="00910F6A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910F6A">
        <w:rPr>
          <w:rFonts w:ascii="Georgia" w:hAnsi="Georgia" w:cs="Times New Roman"/>
          <w:sz w:val="24"/>
          <w:szCs w:val="24"/>
        </w:rPr>
        <w:t>26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the p</w:t>
      </w:r>
      <w:r w:rsidR="002A3848" w:rsidRPr="006164AF">
        <w:rPr>
          <w:rFonts w:ascii="Georgia" w:hAnsi="Georgia" w:cs="Times New Roman"/>
          <w:sz w:val="24"/>
          <w:szCs w:val="24"/>
        </w:rPr>
        <w:t>ercent of years spawning biomass is below 1 million kg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for the simulation period (50 </w:t>
      </w:r>
      <w:proofErr w:type="spellStart"/>
      <w:r w:rsidR="003E79F4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E79F4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Plot depicts two scenarios where the bounds of the uniform distribution defining the probability of a boom year class are shifted </w:t>
      </w:r>
      <w:r w:rsidR="002A3848" w:rsidRPr="006164AF">
        <w:rPr>
          <w:rFonts w:ascii="Georgia" w:hAnsi="Georgia" w:cs="Times New Roman"/>
          <w:b/>
          <w:sz w:val="24"/>
          <w:szCs w:val="24"/>
        </w:rPr>
        <w:t>up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by 0.05. In red is a scenario where unfished spawning biomass is incorrectly assumed according to the status quo scenario (original uniform bounds). In black is a scenario where the unfished biomass is calculated 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(“correctly”)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according to the shift in productivity (shift in bounds of the uniform).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3E79F4" w:rsidRPr="006164AF" w:rsidRDefault="003E79F4">
      <w:pPr>
        <w:rPr>
          <w:rFonts w:ascii="Georgia" w:hAnsi="Georgia"/>
          <w:sz w:val="24"/>
          <w:szCs w:val="24"/>
        </w:rPr>
      </w:pPr>
    </w:p>
    <w:p w:rsidR="00982E21" w:rsidRPr="006164AF" w:rsidRDefault="00910F6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D7C9EFE" wp14:editId="3F778D77">
            <wp:extent cx="5943600" cy="594360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9F4" w:rsidRPr="006164AF" w:rsidRDefault="007100AF" w:rsidP="003E79F4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Figure </w:t>
      </w:r>
      <w:r w:rsidR="00D0194C">
        <w:rPr>
          <w:rFonts w:ascii="Georgia" w:hAnsi="Georgia" w:cs="Times New Roman"/>
          <w:sz w:val="24"/>
          <w:szCs w:val="24"/>
        </w:rPr>
        <w:t>2.</w:t>
      </w:r>
      <w:r w:rsidRPr="006164AF">
        <w:rPr>
          <w:rFonts w:ascii="Georgia" w:hAnsi="Georgia" w:cs="Times New Roman"/>
          <w:sz w:val="24"/>
          <w:szCs w:val="24"/>
        </w:rPr>
        <w:t>27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a</w:t>
      </w:r>
      <w:r w:rsidR="002A3848" w:rsidRPr="006164AF">
        <w:rPr>
          <w:rFonts w:ascii="Georgia" w:hAnsi="Georgia" w:cs="Times New Roman"/>
          <w:sz w:val="24"/>
          <w:szCs w:val="24"/>
        </w:rPr>
        <w:t>bsolute annual variation in yield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for the simulation period (50 </w:t>
      </w:r>
      <w:proofErr w:type="spellStart"/>
      <w:r w:rsidR="003E79F4" w:rsidRPr="006164AF">
        <w:rPr>
          <w:rFonts w:ascii="Georgia" w:hAnsi="Georgia" w:cs="Times New Roman"/>
          <w:sz w:val="24"/>
          <w:szCs w:val="24"/>
        </w:rPr>
        <w:t>yrs</w:t>
      </w:r>
      <w:proofErr w:type="spellEnd"/>
      <w:r w:rsidR="003E79F4" w:rsidRPr="006164AF">
        <w:rPr>
          <w:rFonts w:ascii="Georgia" w:hAnsi="Georgia" w:cs="Times New Roman"/>
          <w:sz w:val="24"/>
          <w:szCs w:val="24"/>
        </w:rPr>
        <w:t>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Plot depicts two scenarios where the bounds of the uniform distribution defining the probability of a boom year class are shifted </w:t>
      </w:r>
      <w:r w:rsidR="002A3848" w:rsidRPr="006164AF">
        <w:rPr>
          <w:rFonts w:ascii="Georgia" w:hAnsi="Georgia" w:cs="Times New Roman"/>
          <w:b/>
          <w:sz w:val="24"/>
          <w:szCs w:val="24"/>
        </w:rPr>
        <w:t>up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by 0.05. In red is a scenario where unfished spawning biomass is incorrectly assumed according to the status quo scenario (original uniform bounds). In black is a scenario where the unfished biomass is calculated</w:t>
      </w:r>
      <w:r w:rsidR="002A3848" w:rsidRPr="006164AF">
        <w:rPr>
          <w:rFonts w:ascii="Georgia" w:hAnsi="Georgia" w:cs="Times New Roman"/>
          <w:sz w:val="24"/>
          <w:szCs w:val="24"/>
        </w:rPr>
        <w:t xml:space="preserve"> (“correctly”) 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according to the shift in productivity (shift in bounds of the uniform).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3E79F4" w:rsidRPr="006164AF" w:rsidRDefault="003E79F4">
      <w:pPr>
        <w:rPr>
          <w:rFonts w:ascii="Georgia" w:hAnsi="Georgia"/>
          <w:sz w:val="24"/>
          <w:szCs w:val="24"/>
        </w:rPr>
      </w:pPr>
    </w:p>
    <w:p w:rsidR="00982E21" w:rsidRPr="006164AF" w:rsidRDefault="00910F6A">
      <w:pPr>
        <w:rPr>
          <w:rFonts w:ascii="Georgia" w:hAnsi="Georg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C3E8BD2" wp14:editId="6F16FF9F">
            <wp:extent cx="5943600" cy="594360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9F4" w:rsidRPr="006164AF" w:rsidRDefault="002A3848" w:rsidP="003E79F4">
      <w:pPr>
        <w:rPr>
          <w:rFonts w:ascii="Georgia" w:hAnsi="Georgia" w:cs="Times New Roman"/>
          <w:sz w:val="24"/>
          <w:szCs w:val="24"/>
        </w:rPr>
      </w:pPr>
      <w:r w:rsidRPr="006164AF">
        <w:rPr>
          <w:rFonts w:ascii="Georgia" w:hAnsi="Georgia" w:cs="Times New Roman"/>
          <w:sz w:val="24"/>
          <w:szCs w:val="24"/>
        </w:rPr>
        <w:t xml:space="preserve">Supplemental </w:t>
      </w:r>
      <w:r w:rsidR="007100AF" w:rsidRPr="006164AF">
        <w:rPr>
          <w:rFonts w:ascii="Georgia" w:hAnsi="Georgia" w:cs="Times New Roman"/>
          <w:sz w:val="24"/>
          <w:szCs w:val="24"/>
        </w:rPr>
        <w:t xml:space="preserve">Figure </w:t>
      </w:r>
      <w:r w:rsidR="00D0194C">
        <w:rPr>
          <w:rFonts w:ascii="Georgia" w:hAnsi="Georgia" w:cs="Times New Roman"/>
          <w:sz w:val="24"/>
          <w:szCs w:val="24"/>
        </w:rPr>
        <w:t>2.</w:t>
      </w:r>
      <w:bookmarkStart w:id="0" w:name="_GoBack"/>
      <w:bookmarkEnd w:id="0"/>
      <w:r w:rsidR="007100AF" w:rsidRPr="006164AF">
        <w:rPr>
          <w:rFonts w:ascii="Georgia" w:hAnsi="Georgia" w:cs="Times New Roman"/>
          <w:sz w:val="24"/>
          <w:szCs w:val="24"/>
        </w:rPr>
        <w:t>28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</w:t>
      </w:r>
      <w:r w:rsidR="00F63FDD" w:rsidRPr="00F63FDD">
        <w:rPr>
          <w:rFonts w:ascii="Georgia" w:hAnsi="Georgia" w:cs="Times New Roman"/>
          <w:sz w:val="24"/>
          <w:szCs w:val="24"/>
        </w:rPr>
        <w:t xml:space="preserve">Summary of the distributions </w:t>
      </w:r>
      <w:r w:rsidR="00F63FDD">
        <w:rPr>
          <w:rFonts w:ascii="Georgia" w:hAnsi="Georgia" w:cs="Times New Roman"/>
          <w:sz w:val="24"/>
          <w:szCs w:val="24"/>
        </w:rPr>
        <w:t>of s</w:t>
      </w:r>
      <w:r w:rsidRPr="006164AF">
        <w:rPr>
          <w:rFonts w:ascii="Georgia" w:hAnsi="Georgia" w:cs="Times New Roman"/>
          <w:sz w:val="24"/>
          <w:szCs w:val="24"/>
        </w:rPr>
        <w:t>pawning biomass at the end of the simulation period (50</w:t>
      </w:r>
      <w:r w:rsidR="003E79F4" w:rsidRPr="006164AF">
        <w:rPr>
          <w:rFonts w:ascii="Georgia" w:hAnsi="Georgia" w:cs="Times New Roman"/>
          <w:sz w:val="24"/>
          <w:szCs w:val="24"/>
        </w:rPr>
        <w:t>yrs)</w:t>
      </w:r>
      <w:r w:rsidR="00ED5E62" w:rsidRPr="00ED5E62">
        <w:rPr>
          <w:rFonts w:ascii="Georgia" w:hAnsi="Georgia" w:cs="Times New Roman"/>
          <w:sz w:val="24"/>
          <w:szCs w:val="24"/>
        </w:rPr>
        <w:t xml:space="preserve"> </w:t>
      </w:r>
      <w:r w:rsidR="00ED5E62">
        <w:rPr>
          <w:rFonts w:ascii="Georgia" w:hAnsi="Georgia" w:cs="Times New Roman"/>
          <w:sz w:val="24"/>
          <w:szCs w:val="24"/>
        </w:rPr>
        <w:t>for the 4yr recruitment scenario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. Plot depicts two scenarios where the bounds of the uniform distribution defining the probability of a boom year class are shifted </w:t>
      </w:r>
      <w:r w:rsidRPr="006164AF">
        <w:rPr>
          <w:rFonts w:ascii="Georgia" w:hAnsi="Georgia" w:cs="Times New Roman"/>
          <w:b/>
          <w:sz w:val="24"/>
          <w:szCs w:val="24"/>
        </w:rPr>
        <w:t>up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by 0.05. In red is a scenario where unfished spawning biomass is incorrectly assumed according to the status quo scenario (original uniform bounds). In black is a scenario where the unfished biomass is calculated</w:t>
      </w:r>
      <w:r w:rsidRPr="006164AF">
        <w:rPr>
          <w:rFonts w:ascii="Georgia" w:hAnsi="Georgia" w:cs="Times New Roman"/>
          <w:sz w:val="24"/>
          <w:szCs w:val="24"/>
        </w:rPr>
        <w:t xml:space="preserve"> (“correctly”)</w:t>
      </w:r>
      <w:r w:rsidR="003E79F4" w:rsidRPr="006164AF">
        <w:rPr>
          <w:rFonts w:ascii="Georgia" w:hAnsi="Georgia" w:cs="Times New Roman"/>
          <w:sz w:val="24"/>
          <w:szCs w:val="24"/>
        </w:rPr>
        <w:t xml:space="preserve"> according to the shift in productivity (shift in bounds of the uniform). </w:t>
      </w:r>
      <w:r w:rsidR="008A3FC4" w:rsidRPr="006164AF">
        <w:rPr>
          <w:rFonts w:ascii="Georgia" w:hAnsi="Georgia" w:cs="Times New Roman"/>
          <w:sz w:val="24"/>
          <w:szCs w:val="24"/>
        </w:rPr>
        <w:t>Shown are medians (horizontal bars) and 25-75 quantiles (boxes).</w:t>
      </w:r>
    </w:p>
    <w:p w:rsidR="003E79F4" w:rsidRPr="006164AF" w:rsidRDefault="003E79F4">
      <w:pPr>
        <w:rPr>
          <w:rFonts w:ascii="Georgia" w:hAnsi="Georgia"/>
          <w:sz w:val="24"/>
          <w:szCs w:val="24"/>
        </w:rPr>
      </w:pPr>
    </w:p>
    <w:p w:rsidR="004A4797" w:rsidRPr="006164AF" w:rsidRDefault="00D0194C">
      <w:pPr>
        <w:rPr>
          <w:rFonts w:ascii="Georgia" w:hAnsi="Georgia"/>
          <w:sz w:val="24"/>
          <w:szCs w:val="24"/>
        </w:rPr>
      </w:pPr>
    </w:p>
    <w:sectPr w:rsidR="004A4797" w:rsidRPr="00616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4C"/>
    <w:rsid w:val="000E15CA"/>
    <w:rsid w:val="001A1BE7"/>
    <w:rsid w:val="002A3848"/>
    <w:rsid w:val="003C78DB"/>
    <w:rsid w:val="003E79F4"/>
    <w:rsid w:val="003F2D39"/>
    <w:rsid w:val="003F6B0E"/>
    <w:rsid w:val="004177EC"/>
    <w:rsid w:val="00491730"/>
    <w:rsid w:val="004B32DE"/>
    <w:rsid w:val="006164AF"/>
    <w:rsid w:val="006C267A"/>
    <w:rsid w:val="006E444C"/>
    <w:rsid w:val="006F7015"/>
    <w:rsid w:val="007100AF"/>
    <w:rsid w:val="00877775"/>
    <w:rsid w:val="008A3FC4"/>
    <w:rsid w:val="008E4043"/>
    <w:rsid w:val="00910F6A"/>
    <w:rsid w:val="00920FA0"/>
    <w:rsid w:val="0095376B"/>
    <w:rsid w:val="00982E21"/>
    <w:rsid w:val="009B2777"/>
    <w:rsid w:val="00A13414"/>
    <w:rsid w:val="00A86EA6"/>
    <w:rsid w:val="00B11A64"/>
    <w:rsid w:val="00D0194C"/>
    <w:rsid w:val="00ED5E62"/>
    <w:rsid w:val="00F15769"/>
    <w:rsid w:val="00F63FDD"/>
    <w:rsid w:val="00FD1913"/>
    <w:rsid w:val="00FE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F55134-6ABB-4945-8789-AAF82243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0.png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image" Target="media/image23.png"/><Relationship Id="rId47" Type="http://schemas.openxmlformats.org/officeDocument/2006/relationships/image" Target="media/image28.png"/><Relationship Id="rId50" Type="http://schemas.openxmlformats.org/officeDocument/2006/relationships/image" Target="media/image31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9" Type="http://schemas.openxmlformats.org/officeDocument/2006/relationships/oleObject" Target="embeddings/oleObject12.bin"/><Relationship Id="rId11" Type="http://schemas.openxmlformats.org/officeDocument/2006/relationships/image" Target="media/image7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png"/><Relationship Id="rId40" Type="http://schemas.openxmlformats.org/officeDocument/2006/relationships/image" Target="media/image21.png"/><Relationship Id="rId45" Type="http://schemas.openxmlformats.org/officeDocument/2006/relationships/image" Target="media/image26.png"/><Relationship Id="rId53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31" Type="http://schemas.openxmlformats.org/officeDocument/2006/relationships/oleObject" Target="embeddings/oleObject13.bin"/><Relationship Id="rId44" Type="http://schemas.openxmlformats.org/officeDocument/2006/relationships/image" Target="media/image25.png"/><Relationship Id="rId52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image" Target="media/image15.png"/><Relationship Id="rId35" Type="http://schemas.openxmlformats.org/officeDocument/2006/relationships/oleObject" Target="embeddings/oleObject16.bin"/><Relationship Id="rId43" Type="http://schemas.openxmlformats.org/officeDocument/2006/relationships/image" Target="media/image24.png"/><Relationship Id="rId48" Type="http://schemas.openxmlformats.org/officeDocument/2006/relationships/image" Target="media/image29.png"/><Relationship Id="rId8" Type="http://schemas.openxmlformats.org/officeDocument/2006/relationships/image" Target="media/image5.png"/><Relationship Id="rId51" Type="http://schemas.openxmlformats.org/officeDocument/2006/relationships/image" Target="media/image32.png"/><Relationship Id="rId3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13.wmf"/><Relationship Id="rId33" Type="http://schemas.openxmlformats.org/officeDocument/2006/relationships/image" Target="media/image16.png"/><Relationship Id="rId38" Type="http://schemas.openxmlformats.org/officeDocument/2006/relationships/image" Target="media/image19.png"/><Relationship Id="rId46" Type="http://schemas.openxmlformats.org/officeDocument/2006/relationships/image" Target="media/image27.png"/><Relationship Id="rId20" Type="http://schemas.openxmlformats.org/officeDocument/2006/relationships/oleObject" Target="embeddings/oleObject7.bin"/><Relationship Id="rId41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oleObject" Target="embeddings/oleObject4.bin"/><Relationship Id="rId23" Type="http://schemas.openxmlformats.org/officeDocument/2006/relationships/image" Target="media/image12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png"/><Relationship Id="rId4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28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Fisch, Nicholas</dc:creator>
  <cp:keywords/>
  <dc:description/>
  <cp:lastModifiedBy>Fisch, Nicholas</cp:lastModifiedBy>
  <cp:revision>15</cp:revision>
  <dcterms:created xsi:type="dcterms:W3CDTF">2017-11-10T19:22:00Z</dcterms:created>
  <dcterms:modified xsi:type="dcterms:W3CDTF">2018-01-16T18:10:00Z</dcterms:modified>
</cp:coreProperties>
</file>